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4.png" ContentType="image/png"/>
  <Override PartName="/word/media/rId44.png" ContentType="image/png"/>
  <Override PartName="/word/media/rId43.png" ContentType="image/png"/>
  <Override PartName="/word/media/rId41.png" ContentType="image/png"/>
  <Override PartName="/word/media/rId24.png" ContentType="image/png"/>
  <Override PartName="/word/media/rId30.png" ContentType="image/png"/>
  <Override PartName="/word/media/rId29.png" ContentType="image/png"/>
  <Override PartName="/word/media/rId33.png" ContentType="image/png"/>
  <Override PartName="/word/media/rId3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(Valles</w:t>
      </w:r>
      <w:r>
        <w:t xml:space="preserve"> </w:t>
      </w:r>
      <w:r>
        <w:t xml:space="preserve">Caldera</w:t>
      </w:r>
      <w:r>
        <w:t xml:space="preserve"> </w:t>
      </w:r>
      <w:r>
        <w:t xml:space="preserve">National</w:t>
      </w:r>
      <w:r>
        <w:t xml:space="preserve"> </w:t>
      </w:r>
      <w:r>
        <w:t xml:space="preserve">Preserve,</w:t>
      </w:r>
      <w:r>
        <w:t xml:space="preserve"> </w:t>
      </w:r>
      <w:r>
        <w:t xml:space="preserve">U.S.</w:t>
      </w:r>
      <w:r>
        <w:t xml:space="preserve"> </w:t>
      </w:r>
      <w:r>
        <w:t xml:space="preserve">National</w:t>
      </w:r>
      <w:r>
        <w:t xml:space="preserve"> </w:t>
      </w:r>
      <w:r>
        <w:t xml:space="preserve">Park</w:t>
      </w:r>
      <w:r>
        <w:t xml:space="preserve"> </w:t>
      </w:r>
      <w:r>
        <w:t xml:space="preserve">Service)</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2016-08-18</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the</w:t>
      </w:r>
      <w:r>
        <w:t xml:space="preserve"> </w:t>
      </w:r>
      <w:r>
        <w:t xml:space="preserve">Neolithic.</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Hutterer 1976), the influence of local contingencies remains poorly understood. One of the enduring challenges is that a critical period of time for this transition -- the Late Pleistocene (c. 50-10 k BP, all dates quoted here are uncalibrated unless otherwise noted) through to the middle Holocene (c. 6â€“3.5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In the Southeast Asian region there is a shift in the Holocene from cave/rockshelter occupation to open site. The Guangxi Province of southern China has extensive evidence of a forager economy with a semi-sedentary lifestyle during c. 7-4 k BP (Higham, 2013). Cave occupation continues until 6 k BP in Xianrendong and 5â€“4 k BP in Zengpiyan, and more than 30 open sites containing shell middens have been found on the terraces of the Zuojiang, Youjiang and Yongjiang rivers near Nanning, in southern Guangxi (Chi and Hung, 2012; Fu; 2002). Occupation of these sites, characterized by the largest, Dingsishan, spans 10-5.5 k BP.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7.5â€“4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weather exposure.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surface at Khao Toh Chong rockshelter (Figure</w:t>
      </w:r>
      <w:r>
        <w:t xml:space="preserve"> </w:t>
      </w:r>
      <w:r>
        <w:t xml:space="preserve">1</w:t>
      </w:r>
      <w:r>
        <w:t xml:space="preserve">). Our review of previous work in the region indicated that stragraphic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60Â°C for 24 hours for particle size analysis. The sub-sample was sieved to remove the &gt;2 mm particles and carbonates were removed by washing the sample in 20 mLof 1 M HCl. Samples were then centrifuged and treated with 30 mLof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60Â°C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600ÂºC for 4 hours and 1000ÂºC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60Â°C for 24 hours, sieved to remove the &gt;2mm particle size fraction (Hartman, 2011), with organics were picked out and discarded before samples were ground for 5 minutes using a mortar and pestle. To remove mineral carbonates the samples were placed in 60 mLof 1 M HCl for 24 hours, stirring every 10 hours (Millwood and Boutton, 1998). The HCl was rinsed off three cycles of adding 60 mLof deionized water was stirred into the samples for 1 minute and then drying at 60Â°C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60Â°C for 24 hours. After a final grinding, samples were scanned on a Bruker D8 Focus X-ray Diffractometer from 5Â° to 75Â° 2Î¸ with a Cu radiation source at resolution 0.02Â° steps per second with 40 kV and 40 mA power output. MDI Jade 9 software was used to identify minerals.</w:t>
      </w:r>
    </w:p>
    <w:p>
      <w:pPr>
        <w:pStyle w:val="BodyText"/>
      </w:pPr>
      <w:r>
        <w:t xml:space="preserve">For compositional analysis by ICP-AES a 1 g sub-sample was added to 10mLof HNO</w:t>
      </w:r>
      <w:r>
        <w:rPr>
          <w:vertAlign w:val="subscript"/>
        </w:rPr>
        <w:t xml:space="preserve">3</w:t>
      </w:r>
      <w:r>
        <w:t xml:space="preserve"> </w:t>
      </w:r>
      <w:r>
        <w:t xml:space="preserve">and heated at 90Â°C for 15 minutes (Misarti et al., 2011). Another 5mLof HNO</w:t>
      </w:r>
      <w:r>
        <w:rPr>
          <w:vertAlign w:val="subscript"/>
        </w:rPr>
        <w:t xml:space="preserve">3</w:t>
      </w:r>
      <w:r>
        <w:t xml:space="preserve"> </w:t>
      </w:r>
      <w:r>
        <w:t xml:space="preserve">was next added and heated at 90Â°C for 60 minutes. Next, deionized water, 30% H</w:t>
      </w:r>
      <w:r>
        <w:rPr>
          <w:vertAlign w:val="subscript"/>
        </w:rPr>
        <w:t xml:space="preserve">2</w:t>
      </w:r>
      <w:r>
        <w:t xml:space="preserve">O</w:t>
      </w:r>
      <w:r>
        <w:rPr>
          <w:vertAlign w:val="subscript"/>
        </w:rPr>
        <w:t xml:space="preserve">2</w:t>
      </w:r>
      <w:r>
        <w:t xml:space="preserve"> </w:t>
      </w:r>
      <w:r>
        <w:t xml:space="preserve">and 10mL HCl were added and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microfloral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Shannonâ€™s index analysis was modeled after Magurran (2004), and Pielouâ€™s index was modeled after McCune et al. (2002).</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29"/>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0"/>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1" w:name="results"/>
      <w:bookmarkEnd w:id="31"/>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w:t>
      </w:r>
      <w:r>
        <w:t xml:space="preserve"> </w:t>
      </w:r>
      <w:r>
        <w:t xml:space="preserve">3</w:t>
      </w:r>
      <w:r>
        <w:t xml:space="preserve">).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2">
        <w:r>
          <w:rPr>
            <w:rStyle w:val="Hyperlink"/>
          </w:rPr>
          <w:t xml:space="preserve">https://dx.doi.org/10.6084/m9.figshare.2065602.v1</w:t>
        </w:r>
      </w:hyperlink>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5" w:name="chronology"/>
      <w:bookmarkEnd w:id="35"/>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shell's ages are offset from the charcoal ages by an average of 3005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TableCaption"/>
      </w:pPr>
      <w:r>
        <w:t xml:space="preserve">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w:t>
      </w:r>
    </w:p>
    <w:tbl>
      <w:tblPr>
        <w:tblStyle w:val="TableNormal"/>
        <w:tblW w:type="pct" w:w="0.0"/>
        <w:tblLook w:firstRow="1"/>
        <w:tblCaption w:val="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w:t>
            </w:r>
            <w:r>
              <w:rPr>
                <w:vertAlign w:val="subscript"/>
              </w:rPr>
              <w:t xml:space="preserve">3</w:t>
            </w:r>
          </w:p>
        </w:tc>
        <w:tc>
          <w:tcPr>
            <w:tcBorders>
              <w:bottom w:val="single"/>
            </w:tcBorders>
            <w:vAlign w:val="bottom"/>
          </w:tcPr>
          <w:p>
            <w:pPr>
              <w:pStyle w:val="Compact"/>
              <w:jc w:val="left"/>
            </w:pPr>
            <w:r>
              <w:t xml:space="preserve">X</w:t>
            </w:r>
            <w:r>
              <w:rPr>
                <w:vertAlign w:val="subscript"/>
              </w:rPr>
              <w:t xml:space="preserve">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Î´</w:t>
            </w:r>
            <w:r>
              <w:rPr>
                <w:vertAlign w:val="superscript"/>
              </w:rPr>
              <w:t xml:space="preserve">13</w:t>
            </w:r>
            <w:r>
              <w:t xml:space="preserve">C</w:t>
            </w:r>
          </w:p>
        </w:tc>
        <w:tc>
          <w:tcPr>
            <w:tcBorders>
              <w:bottom w:val="single"/>
            </w:tcBorders>
            <w:vAlign w:val="bottom"/>
          </w:tcPr>
          <w:p>
            <w:pPr>
              <w:pStyle w:val="Compact"/>
              <w:jc w:val="left"/>
            </w:pPr>
            <w:r>
              <w:t xml:space="preserve">mean size</w:t>
            </w:r>
          </w:p>
        </w:tc>
        <w:tc>
          <w:tcPr>
            <w:tcBorders>
              <w:bottom w:val="single"/>
            </w:tcBorders>
            <w:vAlign w:val="bottom"/>
          </w:tcPr>
          <w:p>
            <w:pPr>
              <w:pStyle w:val="Compact"/>
              <w:jc w:val="left"/>
            </w:pPr>
            <w:r>
              <w:t xml:space="preserve">sd size</w:t>
            </w:r>
          </w:p>
        </w:tc>
      </w:tr>
      <w:tr>
        <w:tc>
          <w:p>
            <w:pPr>
              <w:pStyle w:val="Compact"/>
              <w:jc w:val="left"/>
            </w:pPr>
            <w:r>
              <w:t xml:space="preserve">pH</w:t>
            </w:r>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w:t>
            </w:r>
            <w:r>
              <w:rPr>
                <w:vertAlign w:val="subscript"/>
              </w:rPr>
              <w:t xml:space="preserve">3</w:t>
            </w:r>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w:t>
            </w:r>
            <w:r>
              <w:rPr>
                <w:vertAlign w:val="subscript"/>
              </w:rPr>
              <w:t xml:space="preserve">lf</w:t>
            </w:r>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Î´</w:t>
            </w:r>
            <w:r>
              <w:rPr>
                <w:vertAlign w:val="superscript"/>
              </w:rPr>
              <w:t xml:space="preserve">13</w:t>
            </w:r>
            <w:r>
              <w:t xml:space="preserve">C</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 size</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Right side axis shows modelled ages at sample location depths" id="1" name="Picture"/>
            <a:graphic>
              <a:graphicData uri="http://schemas.openxmlformats.org/drawingml/2006/picture">
                <pic:pic>
                  <pic:nvPicPr>
                    <pic:cNvPr descr="../figures/stratiplotwithdate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r>
        <w:t xml:space="preserve">. Right side axis shows modelled ages at sample location depths</w:t>
      </w:r>
    </w:p>
    <w:p>
      <w:pPr>
        <w:pStyle w:val="Heading3"/>
      </w:pPr>
      <w:bookmarkStart w:id="37" w:name="geoarchaeology"/>
      <w:bookmarkEnd w:id="37"/>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chemical, magnetic susceptibility and particle size analyses are depicted in Figure</w:t>
      </w:r>
      <w:r>
        <w:t xml:space="preserve"> </w:t>
      </w:r>
      <w:r>
        <w:t xml:space="preserve">6</w:t>
      </w:r>
      <w:r>
        <w:t xml:space="preserve"> </w:t>
      </w:r>
      <w:r>
        <w:t xml:space="preserve">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A-5 (0.40 m below surface), indicating an enrichment of magnetic minerals in the deposit. This context also has the highest proportion of carbonates (12%), which would reduce magnetic susceptibility, so the change in A-5 is not a simple dilution of magnetic minerals by diamagnetic minerals.</w:t>
      </w:r>
    </w:p>
    <w:p>
      <w:pPr>
        <w:pStyle w:val="Heading4"/>
      </w:pPr>
      <w:bookmarkStart w:id="39" w:name="carbon-isotope-analysis"/>
      <w:bookmarkEnd w:id="39"/>
      <w:r>
        <w:t xml:space="preserve">Carbon isotope analysis</w:t>
      </w:r>
    </w:p>
    <w:p>
      <w:pPr>
        <w:pStyle w:val="FirstParagraph"/>
      </w:pPr>
      <w:r>
        <w:t xml:space="preserve">The Î´</w:t>
      </w:r>
      <w:r>
        <w:rPr>
          <w:vertAlign w:val="superscript"/>
        </w:rPr>
        <w:t xml:space="preserve">13</w:t>
      </w:r>
      <w:r>
        <w:t xml:space="preserve">C values at KTC range between -28.75â€° and -26.2â€°, with values becoming increasingly depleted in more recent times (Figure</w:t>
      </w:r>
      <w:r>
        <w:t xml:space="preserve"> </w:t>
      </w:r>
      <w:r>
        <w:t xml:space="preserve">6</w:t>
      </w:r>
      <w:r>
        <w:t xml:space="preserve">). The tissues of C3 plants have Î´</w:t>
      </w:r>
      <w:r>
        <w:rPr>
          <w:vertAlign w:val="superscript"/>
        </w:rPr>
        <w:t xml:space="preserve">13</w:t>
      </w:r>
      <w:r>
        <w:t xml:space="preserve">C values ranging from âˆ’20â€° to âˆ’32â€°, while those of C4 plants range from âˆ’9â€° to âˆ’17â€° (Deines, 1980). This indicates an overall dominance of C3 plants, suggestive of forested-grassland vegetation, including evergreen trees and shrubs, surrounding the site (DeNiro, 1987; Yoneyama et al., 2010).</w:t>
      </w:r>
    </w:p>
    <w:p>
      <w:pPr>
        <w:pStyle w:val="TableCaption"/>
      </w:pPr>
      <w:r>
        <w:t xml:space="preserve">Table 3: Summary of X-ray diffraction data from Khao Toh Chong. Units are percent mass.</w:t>
      </w:r>
    </w:p>
    <w:tbl>
      <w:tblPr>
        <w:tblStyle w:val="TableNormal"/>
        <w:tblW w:type="pct" w:w="0.0"/>
        <w:tblLook w:firstRow="1"/>
        <w:tblCaption w:val="Table 3: Summary of X-ray diffraction data from Khao Toh Chong. Units are percent ma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0" w:name="x-ray-diffraction"/>
      <w:bookmarkEnd w:id="40"/>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4: Elemental concentration by ICP-AES, all measurements are in ppm</w:t>
      </w:r>
    </w:p>
    <w:tbl>
      <w:tblPr>
        <w:tblStyle w:val="TableNormal"/>
        <w:tblW w:type="pct" w:w="0.0"/>
        <w:tblLook w:firstRow="1"/>
        <w:tblCaption w:val="Table 4: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5: Correlation matrix of elements analysed by ICP-AES. Cell values are Pearson's product-moment correlation coefficient and p-value are in parentheses. Strong significant correlations are in bold.</w:t>
      </w:r>
    </w:p>
    <w:tbl>
      <w:tblPr>
        <w:tblStyle w:val="TableNormal"/>
        <w:tblW w:type="pct" w:w="0.0"/>
        <w:tblLook w:firstRow="1"/>
        <w:tblCaption w:val="Table 5: Correlation matrix of elements analysed by ICP-AES. Cell values are Pearson's product-moment correlation coefficient and p-value are in parenthes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bl>
    <w:p>
      <w:pPr>
        <w:pStyle w:val="FigureWithCaption"/>
      </w:pPr>
      <w:r>
        <w:drawing>
          <wp:inline>
            <wp:extent cx="4587290" cy="3669832"/>
            <wp:effectExtent b="0" l="0" r="0" t="0"/>
            <wp:docPr descr="Figure 7: Dendrogram of samples based on hierarchical cluster analysis of ICP-AES results" id="1" name="Picture"/>
            <a:graphic>
              <a:graphicData uri="http://schemas.openxmlformats.org/drawingml/2006/picture">
                <pic:pic>
                  <pic:nvPicPr>
                    <pic:cNvPr descr="../figures/denroelements-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samples based on hierarchical cluster analysis of ICP-AES results</w:t>
      </w:r>
    </w:p>
    <w:p>
      <w:pPr>
        <w:pStyle w:val="Heading4"/>
      </w:pPr>
      <w:bookmarkStart w:id="42" w:name="inductively-coupled-plasma-atomic-emission-spectrometry"/>
      <w:bookmarkEnd w:id="42"/>
      <w:r>
        <w:t xml:space="preserve">Inductively coupled plasma-atomic emission spectrometry</w:t>
      </w:r>
    </w:p>
    <w:p>
      <w:pPr>
        <w:pStyle w:val="FirstParagraph"/>
      </w:pPr>
      <w:r>
        <w:t xml:space="preserve">Results from ICP-AES analyses are presented in Table</w:t>
      </w:r>
      <w:r>
        <w:t xml:space="preserve"> </w:t>
      </w:r>
      <w:r>
        <w:t xml:space="preserve">4</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w:t>
      </w:r>
      <w:r>
        <w:t xml:space="preserve"> </w:t>
      </w:r>
      <w:r>
        <w:t xml:space="preserve">5</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3"/>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6: Summary of ceramics and stone artefacts recovered from Khao Toh Chong.</w:t>
      </w:r>
    </w:p>
    <w:tbl>
      <w:tblPr>
        <w:tblStyle w:val="TableNormal"/>
        <w:tblW w:type="pct" w:w="0.0"/>
        <w:tblLook w:firstRow="1"/>
        <w:tblCaption w:val="Table 6: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5" w:name="archaeology"/>
      <w:bookmarkEnd w:id="45"/>
      <w:r>
        <w:t xml:space="preserve">Archaeology</w:t>
      </w:r>
    </w:p>
    <w:p>
      <w:pPr>
        <w:pStyle w:val="FirstParagraph"/>
      </w:pPr>
      <w:r>
        <w:t xml:space="preserve">The archaeological materials consist mostly of small broken pieces of ceramic and flaked stone artefacts (Table</w:t>
      </w:r>
      <w:r>
        <w:t xml:space="preserve"> </w:t>
      </w:r>
      <w:r>
        <w:t xml:space="preserve">6</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of minimal disturbance. Radiocarbon dating of residues on ceramics at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 Future work on thermoluminescence dating of KTC ceramics may be useful to investigate this possibility.</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7: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w:t>
            </w:r>
          </w:p>
        </w:tc>
        <w:tc>
          <w:p>
            <w:pPr>
              <w:pStyle w:val="Compact"/>
              <w:jc w:val="left"/>
            </w:pPr>
            <w:r>
              <w:t xml:space="preserve">5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w:t>
            </w:r>
          </w:p>
        </w:tc>
        <w:tc>
          <w:p>
            <w:pPr>
              <w:pStyle w:val="Compact"/>
              <w:jc w:val="left"/>
            </w:pPr>
            <w:r>
              <w:t xml:space="preserve">21 (1)</w:t>
            </w:r>
          </w:p>
        </w:tc>
        <w:tc>
          <w:p>
            <w:pPr>
              <w:pStyle w:val="Compact"/>
              <w:jc w:val="left"/>
            </w:pPr>
            <w:r>
              <w:t xml:space="preserve">1 (1)</w:t>
            </w:r>
          </w:p>
        </w:tc>
        <w:tc>
          <w:p>
            <w:pPr>
              <w:pStyle w:val="Compact"/>
              <w:jc w:val="left"/>
            </w:pPr>
            <w:r>
              <w:t xml:space="preserve">43 (1)</w:t>
            </w:r>
          </w:p>
        </w:tc>
        <w:tc>
          <w:p>
            <w:pPr>
              <w:pStyle w:val="Compact"/>
              <w:jc w:val="left"/>
            </w:pPr>
            <w:r>
              <w:t xml:space="preserve">17 (1)</w:t>
            </w:r>
          </w:p>
        </w:tc>
        <w:tc>
          <w:p>
            <w:pPr>
              <w:pStyle w:val="Compact"/>
              <w:jc w:val="left"/>
            </w:pPr>
            <w:r>
              <w:t xml:space="preserve">11 (1)</w:t>
            </w:r>
          </w:p>
        </w:tc>
        <w:tc>
          <w:p>
            <w:pPr>
              <w:pStyle w:val="Compact"/>
              <w:jc w:val="left"/>
            </w:pPr>
            <w:r>
              <w:t xml:space="preserve">43 (2)</w:t>
            </w:r>
          </w:p>
        </w:tc>
        <w:tc>
          <w:p>
            <w:pPr>
              <w:pStyle w:val="Compact"/>
              <w:jc w:val="left"/>
            </w:pPr>
            <w:r>
              <w:t xml:space="preserve">32 (1)</w:t>
            </w:r>
          </w:p>
        </w:tc>
        <w:tc>
          <w:p>
            <w:pPr>
              <w:pStyle w:val="Compact"/>
              <w:jc w:val="left"/>
            </w:pPr>
            <w:r>
              <w:t xml:space="preserve">4 (1)</w:t>
            </w:r>
          </w:p>
        </w:tc>
        <w:tc>
          <w:p>
            <w:pPr>
              <w:pStyle w:val="Compact"/>
              <w:jc w:val="left"/>
            </w:pPr>
            <w:r>
              <w:t xml:space="preserve">43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1 (1)</w:t>
            </w:r>
          </w:p>
        </w:tc>
        <w:tc>
          <w:p>
            <w:pPr>
              <w:pStyle w:val="Compact"/>
              <w:jc w:val="left"/>
            </w:pPr>
            <w:r>
              <w:t xml:space="preserve">0 (0)</w:t>
            </w:r>
          </w:p>
        </w:tc>
        <w:tc>
          <w:p>
            <w:pPr>
              <w:pStyle w:val="Compact"/>
              <w:jc w:val="left"/>
            </w:pPr>
            <w:r>
              <w:t xml:space="preserve">3 (1)</w:t>
            </w:r>
          </w:p>
        </w:tc>
        <w:tc>
          <w:p>
            <w:pPr>
              <w:pStyle w:val="Compact"/>
              <w:jc w:val="left"/>
            </w:pPr>
            <w:r>
              <w:t xml:space="preserve">7 (1)</w:t>
            </w:r>
          </w:p>
        </w:tc>
        <w:tc>
          <w:p>
            <w:pPr>
              <w:pStyle w:val="Compact"/>
              <w:jc w:val="left"/>
            </w:pPr>
            <w:r>
              <w:t xml:space="preserve">6 (1)</w:t>
            </w:r>
          </w:p>
        </w:tc>
        <w:tc>
          <w:p>
            <w:pPr>
              <w:pStyle w:val="Compact"/>
              <w:jc w:val="left"/>
            </w:pPr>
            <w:r>
              <w:t xml:space="preserve">14 (1)</w:t>
            </w:r>
          </w:p>
        </w:tc>
        <w:tc>
          <w:p>
            <w:pPr>
              <w:pStyle w:val="Compact"/>
              <w:jc w:val="left"/>
            </w:pPr>
            <w:r>
              <w:t xml:space="preserve">2 (1)</w:t>
            </w:r>
          </w:p>
        </w:tc>
        <w:tc>
          <w:p>
            <w:pPr>
              <w:pStyle w:val="Compact"/>
              <w:jc w:val="left"/>
            </w:pPr>
            <w:r>
              <w:t xml:space="preserve">2 (1)</w:t>
            </w:r>
          </w:p>
        </w:tc>
        <w:tc>
          <w:p>
            <w:pPr>
              <w:pStyle w:val="Compact"/>
              <w:jc w:val="left"/>
            </w:pPr>
            <w:r>
              <w:t xml:space="preserve">4 (1)</w:t>
            </w:r>
          </w:p>
        </w:tc>
        <w:tc>
          <w:p>
            <w:pPr>
              <w:pStyle w:val="Compact"/>
              <w:jc w:val="left"/>
            </w:pPr>
            <w:r>
              <w:t xml:space="preserve">39 (8)</w:t>
            </w:r>
          </w:p>
        </w:tc>
      </w:tr>
      <w:tr>
        <w:tc>
          <w:p>
            <w:pPr>
              <w:pStyle w:val="Compact"/>
              <w:jc w:val="left"/>
            </w:pPr>
            <w:r>
              <w:t xml:space="preserve">Pythonidae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w:t>
            </w:r>
          </w:p>
        </w:tc>
        <w:tc>
          <w:p>
            <w:pPr>
              <w:pStyle w:val="Compact"/>
              <w:jc w:val="left"/>
            </w:pPr>
            <w:r>
              <w:t xml:space="preserve">2 (1)</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6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1 (1)</w:t>
            </w:r>
          </w:p>
        </w:tc>
        <w:tc>
          <w:p>
            <w:pPr>
              <w:pStyle w:val="Compact"/>
              <w:jc w:val="left"/>
            </w:pPr>
            <w:r>
              <w:t xml:space="preserve">2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r>
      <w:tr>
        <w:tc>
          <w:p>
            <w:pPr>
              <w:pStyle w:val="Compact"/>
              <w:jc w:val="left"/>
            </w:pPr>
            <w:r>
              <w:t xml:space="preserve">Rodentia</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(1)</w:t>
            </w:r>
          </w:p>
        </w:tc>
        <w:tc>
          <w:p>
            <w:pPr>
              <w:pStyle w:val="Compact"/>
              <w:jc w:val="left"/>
            </w:pPr>
            <w:r>
              <w:t xml:space="preserve">0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3 (1)</w:t>
            </w:r>
          </w:p>
        </w:tc>
        <w:tc>
          <w:p>
            <w:pPr>
              <w:pStyle w:val="Compact"/>
              <w:jc w:val="left"/>
            </w:pPr>
            <w:r>
              <w:t xml:space="preserve">5 (2)</w:t>
            </w:r>
          </w:p>
        </w:tc>
      </w:tr>
      <w:tr>
        <w:tc>
          <w:p>
            <w:pPr>
              <w:pStyle w:val="Compact"/>
              <w:jc w:val="left"/>
            </w:pPr>
            <w:r>
              <w:t xml:space="preserve">Bovinae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29 (4)</w:t>
            </w:r>
          </w:p>
        </w:tc>
        <w:tc>
          <w:p>
            <w:pPr>
              <w:pStyle w:val="Compact"/>
              <w:jc w:val="left"/>
            </w:pPr>
            <w:r>
              <w:t xml:space="preserve">1 (1)</w:t>
            </w:r>
          </w:p>
        </w:tc>
        <w:tc>
          <w:p>
            <w:pPr>
              <w:pStyle w:val="Compact"/>
              <w:jc w:val="left"/>
            </w:pPr>
            <w:r>
              <w:t xml:space="preserve">54 (5)</w:t>
            </w:r>
          </w:p>
        </w:tc>
        <w:tc>
          <w:p>
            <w:pPr>
              <w:pStyle w:val="Compact"/>
              <w:jc w:val="left"/>
            </w:pPr>
            <w:r>
              <w:t xml:space="preserve">24 (2)</w:t>
            </w:r>
          </w:p>
        </w:tc>
        <w:tc>
          <w:p>
            <w:pPr>
              <w:pStyle w:val="Compact"/>
              <w:jc w:val="left"/>
            </w:pPr>
            <w:r>
              <w:t xml:space="preserve">17 (2)</w:t>
            </w:r>
          </w:p>
        </w:tc>
        <w:tc>
          <w:p>
            <w:pPr>
              <w:pStyle w:val="Compact"/>
              <w:jc w:val="left"/>
            </w:pPr>
            <w:r>
              <w:t xml:space="preserve">60 (6)</w:t>
            </w:r>
          </w:p>
        </w:tc>
        <w:tc>
          <w:p>
            <w:pPr>
              <w:pStyle w:val="Compact"/>
              <w:jc w:val="left"/>
            </w:pPr>
            <w:r>
              <w:t xml:space="preserve">52 (9)</w:t>
            </w:r>
          </w:p>
        </w:tc>
        <w:tc>
          <w:p>
            <w:pPr>
              <w:pStyle w:val="Compact"/>
              <w:jc w:val="left"/>
            </w:pPr>
            <w:r>
              <w:t xml:space="preserve">9 (4)</w:t>
            </w:r>
          </w:p>
        </w:tc>
        <w:tc>
          <w:p>
            <w:pPr>
              <w:pStyle w:val="Compact"/>
              <w:jc w:val="left"/>
            </w:pPr>
            <w:r>
              <w:t xml:space="preserve">58 (8)</w:t>
            </w:r>
          </w:p>
        </w:tc>
        <w:tc>
          <w:p>
            <w:pPr>
              <w:pStyle w:val="Compact"/>
              <w:jc w:val="left"/>
            </w:pPr>
            <w:r>
              <w:t xml:space="preserve">304 (41)</w:t>
            </w:r>
          </w:p>
        </w:tc>
      </w:tr>
    </w:tbl>
    <w:p>
      <w:pPr>
        <w:pStyle w:val="TableCaption"/>
      </w:pPr>
      <w:r>
        <w:t xml:space="preserve">Table 8: NISP of mollusk remains recovered from Khao Toh Chong (MNI values in parentheses).</w:t>
      </w:r>
    </w:p>
    <w:tbl>
      <w:tblPr>
        <w:tblStyle w:val="TableNormal"/>
        <w:tblW w:type="pct" w:w="0.0"/>
        <w:tblLook w:firstRow="1"/>
        <w:tblCaption w:val="Table 8: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66 (0)</w:t>
            </w:r>
          </w:p>
        </w:tc>
        <w:tc>
          <w:p>
            <w:pPr>
              <w:pStyle w:val="Compact"/>
              <w:jc w:val="left"/>
            </w:pPr>
            <w:r>
              <w:t xml:space="preserve">191 (0)</w:t>
            </w:r>
          </w:p>
        </w:tc>
        <w:tc>
          <w:p>
            <w:pPr>
              <w:pStyle w:val="Compact"/>
              <w:jc w:val="left"/>
            </w:pPr>
            <w:r>
              <w:t xml:space="preserve">18 (0)</w:t>
            </w:r>
          </w:p>
        </w:tc>
        <w:tc>
          <w:p>
            <w:pPr>
              <w:pStyle w:val="Compact"/>
              <w:jc w:val="left"/>
            </w:pPr>
            <w:r>
              <w:t xml:space="preserve">367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2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12 (1)</w:t>
            </w:r>
          </w:p>
        </w:tc>
        <w:tc>
          <w:p>
            <w:pPr>
              <w:pStyle w:val="Compact"/>
              <w:jc w:val="left"/>
            </w:pPr>
            <w:r>
              <w:t xml:space="preserve">20 (28)</w:t>
            </w:r>
          </w:p>
        </w:tc>
        <w:tc>
          <w:p>
            <w:pPr>
              <w:pStyle w:val="Compact"/>
              <w:jc w:val="left"/>
            </w:pPr>
            <w:r>
              <w:t xml:space="preserve">5 (5)</w:t>
            </w:r>
          </w:p>
        </w:tc>
        <w:tc>
          <w:p>
            <w:pPr>
              <w:pStyle w:val="Compact"/>
              <w:jc w:val="left"/>
            </w:pPr>
            <w:r>
              <w:t xml:space="preserve">27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71 (52)</w:t>
            </w:r>
          </w:p>
        </w:tc>
        <w:tc>
          <w:p>
            <w:pPr>
              <w:pStyle w:val="Compact"/>
              <w:jc w:val="left"/>
            </w:pPr>
            <w:r>
              <w:t xml:space="preserve">115 (82)</w:t>
            </w:r>
          </w:p>
        </w:tc>
        <w:tc>
          <w:p>
            <w:pPr>
              <w:pStyle w:val="Compact"/>
              <w:jc w:val="left"/>
            </w:pPr>
            <w:r>
              <w:t xml:space="preserve">3390 (1584)</w:t>
            </w:r>
          </w:p>
        </w:tc>
        <w:tc>
          <w:p>
            <w:pPr>
              <w:pStyle w:val="Compact"/>
              <w:jc w:val="left"/>
            </w:pPr>
            <w:r>
              <w:t xml:space="preserve">545 (2215)</w:t>
            </w:r>
          </w:p>
        </w:tc>
        <w:tc>
          <w:p>
            <w:pPr>
              <w:pStyle w:val="Compact"/>
              <w:jc w:val="left"/>
            </w:pPr>
            <w:r>
              <w:t xml:space="preserve">583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1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(2)</w:t>
            </w:r>
          </w:p>
        </w:tc>
        <w:tc>
          <w:p>
            <w:pPr>
              <w:pStyle w:val="Compact"/>
              <w:jc w:val="left"/>
            </w:pPr>
            <w:r>
              <w:t xml:space="preserve">0 (4)</w:t>
            </w:r>
          </w:p>
        </w:tc>
        <w:tc>
          <w:p>
            <w:pPr>
              <w:pStyle w:val="Compact"/>
              <w:jc w:val="left"/>
            </w:pPr>
            <w:r>
              <w:t xml:space="preserve">0 (0)</w:t>
            </w:r>
          </w:p>
        </w:tc>
        <w:tc>
          <w:p>
            <w:pPr>
              <w:pStyle w:val="Compact"/>
              <w:jc w:val="left"/>
            </w:pPr>
            <w:r>
              <w:t xml:space="preserve">13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5 (2)</w:t>
            </w:r>
          </w:p>
        </w:tc>
        <w:tc>
          <w:p>
            <w:pPr>
              <w:pStyle w:val="Compact"/>
              <w:jc w:val="left"/>
            </w:pPr>
            <w:r>
              <w:t xml:space="preserve">3 (3)</w:t>
            </w:r>
          </w:p>
        </w:tc>
        <w:tc>
          <w:p>
            <w:pPr>
              <w:pStyle w:val="Compact"/>
              <w:jc w:val="left"/>
            </w:pPr>
            <w:r>
              <w:t xml:space="preserve">3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5 (2)</w:t>
            </w:r>
          </w:p>
        </w:tc>
        <w:tc>
          <w:p>
            <w:pPr>
              <w:pStyle w:val="Compact"/>
              <w:jc w:val="left"/>
            </w:pPr>
            <w:r>
              <w:t xml:space="preserve">11 (10)</w:t>
            </w:r>
          </w:p>
        </w:tc>
        <w:tc>
          <w:p>
            <w:pPr>
              <w:pStyle w:val="Compact"/>
              <w:jc w:val="left"/>
            </w:pPr>
            <w:r>
              <w:t xml:space="preserve">5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(6)</w:t>
            </w:r>
          </w:p>
        </w:tc>
        <w:tc>
          <w:p>
            <w:pPr>
              <w:pStyle w:val="Compact"/>
              <w:jc w:val="left"/>
            </w:pPr>
            <w:r>
              <w:t xml:space="preserve">0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3 (2)</w:t>
            </w:r>
          </w:p>
        </w:tc>
        <w:tc>
          <w:p>
            <w:pPr>
              <w:pStyle w:val="Compact"/>
              <w:jc w:val="left"/>
            </w:pPr>
            <w:r>
              <w:t xml:space="preserve">3 (3)</w:t>
            </w:r>
          </w:p>
        </w:tc>
        <w:tc>
          <w:p>
            <w:pPr>
              <w:pStyle w:val="Compact"/>
              <w:jc w:val="left"/>
            </w:pPr>
            <w:r>
              <w:t xml:space="preserve">5 (4)</w:t>
            </w:r>
          </w:p>
        </w:tc>
        <w:tc>
          <w:p>
            <w:pPr>
              <w:pStyle w:val="Compact"/>
              <w:jc w:val="left"/>
            </w:pPr>
            <w:r>
              <w:t xml:space="preserve">0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93 (58)</w:t>
            </w:r>
          </w:p>
        </w:tc>
        <w:tc>
          <w:p>
            <w:pPr>
              <w:pStyle w:val="Compact"/>
              <w:jc w:val="left"/>
            </w:pPr>
            <w:r>
              <w:t xml:space="preserve">221 (110)</w:t>
            </w:r>
          </w:p>
        </w:tc>
        <w:tc>
          <w:p>
            <w:pPr>
              <w:pStyle w:val="Compact"/>
              <w:jc w:val="left"/>
            </w:pPr>
            <w:r>
              <w:t xml:space="preserve">3643 (1647)</w:t>
            </w:r>
          </w:p>
        </w:tc>
        <w:tc>
          <w:p>
            <w:pPr>
              <w:pStyle w:val="Compact"/>
              <w:jc w:val="left"/>
            </w:pPr>
            <w:r>
              <w:t xml:space="preserve">574 (2234)</w:t>
            </w:r>
          </w:p>
        </w:tc>
        <w:tc>
          <w:p>
            <w:pPr>
              <w:pStyle w:val="Compact"/>
              <w:jc w:val="left"/>
            </w:pPr>
            <w:r>
              <w:t xml:space="preserve">988 (815)</w:t>
            </w:r>
          </w:p>
        </w:tc>
        <w:tc>
          <w:p>
            <w:pPr>
              <w:pStyle w:val="Compact"/>
              <w:jc w:val="left"/>
            </w:pPr>
            <w:r>
              <w:t xml:space="preserve">5687 (5027)</w:t>
            </w:r>
          </w:p>
        </w:tc>
      </w:tr>
    </w:tbl>
    <w:p>
      <w:pPr>
        <w:pStyle w:val="TableCaption"/>
      </w:pPr>
      <w:r>
        <w:t xml:space="preserve">Table 9: Ecological indices of diversity and evenness for the faunal assemblage recovered from Khao Toh Chong. Pielou's index is also known as the Shannon index of evenness</w:t>
      </w:r>
    </w:p>
    <w:tbl>
      <w:tblPr>
        <w:tblStyle w:val="TableNormal"/>
        <w:tblW w:type="pct" w:w="0.0"/>
        <w:tblLook w:firstRow="1"/>
        <w:tblCaption w:val="Table 9: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0.000</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6" w:name="faunal-assemblage"/>
      <w:bookmarkEnd w:id="46"/>
      <w:r>
        <w:t xml:space="preserve">Faunal assemblage</w:t>
      </w:r>
    </w:p>
    <w:p>
      <w:pPr>
        <w:pStyle w:val="FirstParagraph"/>
      </w:pPr>
      <w:r>
        <w:t xml:space="preserve">Mammalian abundance and distribution at the rockshelter throughout the late-Pleistocene and Holocene describes a diverse array of taxa in the deposits (Table</w:t>
      </w:r>
      <w:r>
        <w:t xml:space="preserve"> </w:t>
      </w:r>
      <w:r>
        <w:t xml:space="preserve">7</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w:t>
      </w:r>
      <w:r>
        <w:t xml:space="preserve"> </w:t>
      </w:r>
      <w:r>
        <w:t xml:space="preserve">8</w:t>
      </w:r>
      <w:r>
        <w:t xml:space="preserve">).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0.647, df = 7, p = 0.06), indicating that the rate of fragmentation is constant (Jones, 2013; Lyman, 2008). Ecological indices of taxonomic diversity and evenness vary over time, suggesting complex variations in forager behaviour (Table</w:t>
      </w:r>
      <w:r>
        <w:t xml:space="preserve"> </w:t>
      </w:r>
      <w:r>
        <w:t xml:space="preserve">9</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mostly uncoordinated changes in the variables we measured, with some important correlations that aid the interpreation of the palaeoenvironmental context of the site. We interpret this as indicative of relatively constant conditions of deposition and an absense of massive homogenising processing that would have erased the trends we see in the geoarchaeological variables. The sediment texture suggests a mixture of aeolian, colluvial and fluvial inputs, typical of cave and rockshelter deposits in the tropics (cf. Westaway et al., 2009). The composition of the sediments varies little over time, as indicated by the measurements of organic matter, carbonates and pH in the bulk samples, and the ICP-AES data.</w:t>
      </w:r>
    </w:p>
    <w:p>
      <w:pPr>
        <w:pStyle w:val="BodyText"/>
      </w:pPr>
      <w:r>
        <w:t xml:space="preserve">Visual inspection of the KTC data suggests that, frequency dependency values track mean particle size more closely than they track magnetic susceptibility, indicating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deposit (Table</w:t>
      </w:r>
      <w:r>
        <w:t xml:space="preserve"> </w:t>
      </w:r>
      <w:r>
        <w:t xml:space="preserve">2</w:t>
      </w:r>
      <w:r>
        <w:t xml:space="preserve">), which is the opposite of what would expected if pedogenesis was an important enriching process. This suggests that the enhancement of susceptibility may have occured off-site, rather than through in situ processes in the deposit. If the magnetic susceptibility signal is probably not coupled to anthropogenic burning at the site, the high values at 0.40 m below surface (c. 4-5 k cal. BP) may indicate warmer/wetter times. The mechanism linking higher sediment magnetic susceptibility values to warmer/wetter conditions has been described by Ellwood et al. (1997) as due to high production of maghemite from higher pedogenetic rates on the landscape, with these enriched sediments washed into the site to form the deposit. At KTC we may be seeing signals of increased use of the site (artefact discard is relatively high in context 4 and 5) as people shelter from rain during warmer/wetter conditions.</w:t>
      </w:r>
    </w:p>
    <w:p>
      <w:pPr>
        <w:pStyle w:val="BodyText"/>
      </w:pPr>
      <w:r>
        <w:t xml:space="preserve">Carbon isotope values indicate a consistent dominance of C</w:t>
      </w:r>
      <w:r>
        <w:rPr>
          <w:vertAlign w:val="subscript"/>
        </w:rPr>
        <w:t xml:space="preserve">3</w:t>
      </w:r>
      <w:r>
        <w:t xml:space="preserve"> </w:t>
      </w:r>
      <w:r>
        <w:t xml:space="preserve">plants in the site environment through time, similar to the present-day environment. The small monotonic depletion in Carbon isotope values towards the present suggests that the deposit has some stratigraphic integrity, despite the anomalously deep finds of ceramics. The decrease in carbon isotope values may be due to several factors, including changes in the ratio of C</w:t>
      </w:r>
      <w:r>
        <w:rPr>
          <w:vertAlign w:val="subscript"/>
        </w:rPr>
        <w:t xml:space="preserve">3</w:t>
      </w:r>
      <w:r>
        <w:t xml:space="preserve"> </w:t>
      </w:r>
      <w:r>
        <w:t xml:space="preserve">and C</w:t>
      </w:r>
      <w:r>
        <w:rPr>
          <w:vertAlign w:val="subscript"/>
        </w:rPr>
        <w:t xml:space="preserve">4</w:t>
      </w:r>
      <w:r>
        <w:t xml:space="preserve"> </w:t>
      </w:r>
      <w:r>
        <w:t xml:space="preserve">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so that as SOM increases, carbon isotope values becomes increasingly depleted. This is the opposite of what is usually expected when SOM is the primary mechanism controlling carbon isotope values in shallow deposits such as KTC, beause SOM often enriches Î´</w:t>
      </w:r>
      <w:r>
        <w:rPr>
          <w:vertAlign w:val="superscript"/>
        </w:rPr>
        <w:t xml:space="preserve">13</w:t>
      </w:r>
      <w:r>
        <w:t xml:space="preserve">C values with increasing depth (Ehleringer et al. 2000), even as the absolute SOM content decreases with depth (JobbÃ¡gy and Jackson 2000). Since SOM is probably not the primary driver of Î´</w:t>
      </w:r>
      <w:r>
        <w:rPr>
          <w:vertAlign w:val="superscript"/>
        </w:rPr>
        <w:t xml:space="preserve">13</w:t>
      </w:r>
      <w:r>
        <w:t xml:space="preserve">C values at KTC, then we may be observing a decrease in the relative ratios of C</w:t>
      </w:r>
      <w:r>
        <w:rPr>
          <w:vertAlign w:val="subscript"/>
        </w:rPr>
        <w:t xml:space="preserve">4</w:t>
      </w:r>
      <w:r>
        <w:t xml:space="preserve">/C</w:t>
      </w:r>
      <w:r>
        <w:rPr>
          <w:vertAlign w:val="subscript"/>
        </w:rPr>
        <w:t xml:space="preserve">3</w:t>
      </w:r>
      <w:r>
        <w:t xml:space="preserve"> </w:t>
      </w:r>
      <w:r>
        <w:t xml:space="preserve">plants over time.</w:t>
      </w:r>
    </w:p>
    <w:p>
      <w:pPr>
        <w:pStyle w:val="BodyText"/>
      </w:pPr>
      <w:r>
        <w:t xml:space="preserve">Aridity and temperature are important factors in controlling this ratio, but their exact relationships vary from region to region (Pagani et al., 1999, Huang et al., 2001, SchefuÎ² et al., 2003 and Zhang et al., 2003). C</w:t>
      </w:r>
      <w:r>
        <w:rPr>
          <w:vertAlign w:val="subscript"/>
        </w:rPr>
        <w:t xml:space="preserve">4</w:t>
      </w:r>
      <w:r>
        <w:t xml:space="preserve"> </w:t>
      </w:r>
      <w:r>
        <w:t xml:space="preserve">photosynthesis is often associated with warm-season precipitation, dry/hot environments, and high light intensities, because C</w:t>
      </w:r>
      <w:r>
        <w:rPr>
          <w:vertAlign w:val="subscript"/>
        </w:rPr>
        <w:t xml:space="preserve">4</w:t>
      </w:r>
      <w:r>
        <w:t xml:space="preserve"> </w:t>
      </w:r>
      <w:r>
        <w:t xml:space="preserve">plants are more efficient than C</w:t>
      </w:r>
      <w:r>
        <w:rPr>
          <w:vertAlign w:val="subscript"/>
        </w:rPr>
        <w:t xml:space="preserve">3</w:t>
      </w:r>
      <w:r>
        <w:t xml:space="preserve"> </w:t>
      </w:r>
      <w:r>
        <w:t xml:space="preserve">species in their use of water, light, and nitrogen (Sage, 1999; Pagani et al., 1999). This means that C</w:t>
      </w:r>
      <w:r>
        <w:rPr>
          <w:vertAlign w:val="subscript"/>
        </w:rPr>
        <w:t xml:space="preserve">3</w:t>
      </w:r>
      <w:r>
        <w:t xml:space="preserve"> </w:t>
      </w:r>
      <w:r>
        <w:t xml:space="preserve">plants are favored over C</w:t>
      </w:r>
      <w:r>
        <w:rPr>
          <w:vertAlign w:val="subscript"/>
        </w:rPr>
        <w:t xml:space="preserve">4</w:t>
      </w:r>
      <w:r>
        <w:t xml:space="preserve"> </w:t>
      </w:r>
      <w:r>
        <w:t xml:space="preserve">plants at times of lower temperature and winter precipitation or during periods of decreased East Asian summer monsoon strength. In the upper 0.2 m, around 2-3 k cal BP, at KTC we see increasingly negative Î´</w:t>
      </w:r>
      <w:r>
        <w:rPr>
          <w:vertAlign w:val="superscript"/>
        </w:rPr>
        <w:t xml:space="preserve">13</w:t>
      </w:r>
      <w:r>
        <w:t xml:space="preserve">C values, suggesting a reduction in C4 plants, resulting from cooler and dryer conditions relative to the earlier Holocene. This is consistent with cooler/dryer conditions indicated by a decrease in magnetic susceptibility occurring at KTC at the same time. However, the trend in Î´</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Future work should investigate Carbon isotope values of leaf wax n-alkanes because these are more diagnostic than those from bulk sediments, which contains materials of both terrestrial and aquatic origin.</w:t>
      </w:r>
    </w:p>
    <w:p>
      <w:pPr>
        <w:pStyle w:val="BodyText"/>
      </w:pPr>
      <w:r>
        <w:t xml:space="preserve">The magnetic susceptibility and carbon isotope data indicate a transition from warmer/wetter conditions at 4-5 k cal. BP to dryer conditions around 2-3 k cal. BP. There are very few nearby comparable records spanning this period, but our interpretations are consisitent with a strong Asian summer monsoon in the early Holocene, and weakening into the middle and later Holocene (Cook and Jones 2012). Lake sediment sequences from northeast Thailand indicate peak Holocene wetness slightly earlier than KTC, at around 7 and 6.6 k cal. BP, followed by dry conditions between 5.4 and 4 k cal. BP (Wohlfarth et al. 2016; Chabangborn and Wohlfarth 2014). There are multiple long hiatuses in the northeast Thailand sequences between c. 6.4 and 1.8 k cal. BP (Wohlfarth et al. 2016), and climate proxies from this period are complicated by inputs resulting from humans burning forests and cultivating crops (White et al. 2004; Kealhofer and Penny, 1998). but hydrogen isotope data shows that moisture availability was low around 2700â€“2300 cal. BP, and macroscopic charcoal with high between approximately 3500 and 2100 cal. BP (Wohlfarth et al. 2016). These signals are consistent with the dryer conditions observed at 2-3 k cal. BP at KTC.</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If these were coordinated, it might suggest episodes of soil formation on the landscape surrounding the site. Thus, we can credibly interpret the geoarchaeological data as indicating generally constant conditions over time, rather than resulting from massive large scale bioturbation.</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B1, A4, A7U and A7L is notable because they are relatively enriched with Ca and Mg, but this is not correlated with carbonates measured by loss on ignition. Overall, the element distributions suggest low variation over time. This homogeneity in the composition of the deposit is consistent with a single source of sediment throughout the history of sediment acculumation at KTC.</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fish, and molluscan assemblages present in fairly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 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habitats. Occurrence of abundant turtle or tortoise remains at KTC also suggests that fresh-water stream habitats were found near the site throughout the late-Pleistocene and early-Holocene.</w:t>
      </w:r>
    </w:p>
    <w:p>
      <w:pPr>
        <w:pStyle w:val="BodyText"/>
      </w:pPr>
      <w:r>
        <w:t xml:space="preserve">At Lang Rongrien, abundant Testudines elements through time provided evidence of turtle and tortoise exploitation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Testudines exploitation, this represents and supports the recognition of a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Archaeological 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and Moh Khiew.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w:t>
      </w:r>
    </w:p>
    <w:p>
      <w:pPr>
        <w:pStyle w:val="BodyText"/>
      </w:pPr>
      <w:r>
        <w:t xml:space="preserve">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were exploited and economic plants begin to appear archaeologically.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Sea level changes have not previously been recognized as important mechanisms in prehistoric human adaptations in mainland Southeast Asia. For example, 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and 1.8 k cal. BP. However, Kealhofer (2002; Kealhofer and Penny, 1998) has interpreted the microbotanical record from northeast Thailand as reflecting a shift in land management providing evidence for agriculture in the region at 5â€“4.5 k cal. BP. At KTC, our key finding is a human-environment adaption in the form of a change in the role of shellfish in subsistence behaviours, and changes in the intensity of site use that is consistent with a long trajectory of land management leading to full-time agriculture in the later Holocene. Unlike northeast Thailand where Wohlfarth et al. (2016) link archaeological patterns to regional summer monsoon patterns, the changes we have observed at KTC are tied more closely to flucutations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assistance with the geoarchaeological laboratory analysis. Thanks to Tuesday Kuykendall at the UW MS&amp;E XRD lab, Kyle Samek in the UW ESS IsoLab, and Dan Penny at the ANU. Funding was provided by an ACLS/Luce Foundation grant to Peter Lape (University of Washington), an International Provost grant to BM from the University of Washington Office of the Provost, and an Australian Research Council Future Fellowship to BM (FT140100101)</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plÃ©istocÃ¨ne final Ã  l'holocÃ¨ne de ThaiÍÌˆlande: approche archÃ©ozoologique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w:t>
      </w:r>
      <w:r>
        <w:t xml:space="preserve"> </w:t>
      </w:r>
      <w:r>
        <w:t xml:space="preserve">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10.5â€“5 ka."</w:t>
      </w:r>
      <w:r>
        <w:t xml:space="preserve"> </w:t>
      </w:r>
      <w:r>
        <w:rPr>
          <w:i/>
        </w:rPr>
        <w:t xml:space="preserve">Journal of Quaternary Science</w:t>
      </w:r>
      <w:r>
        <w:t xml:space="preserve"> </w:t>
      </w:r>
      <w:r>
        <w:t xml:space="preserve">29(5): 445-454.</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369â€“385.</w:t>
      </w:r>
    </w:p>
    <w:p>
      <w:pPr>
        <w:pStyle w:val="BodyText"/>
      </w:pPr>
      <w:r>
        <w:t xml:space="preserve">Dalan RA, Banerjee SK (1998) Solving archaeological problems using techniques of soil magnetism. Geoarchaeology 13:3â€“36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155â€“190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343(6254):161â€“163</w:t>
      </w:r>
    </w:p>
    <w:p>
      <w:pPr>
        <w:pStyle w:val="BodyText"/>
      </w:pPr>
      <w:r>
        <w:t xml:space="preserve">Forestier, H., Sophady, H., Puaud, S., Celiberti, V., FrÃ¨re,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GÃ©omorphologi_e,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22:63â€“72.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13â€“28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11â€“26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radiocarbonâ€dated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Hutterer, K. L., (1976). "An evolutionary approach to the Southeast Asian cultural sequence." Current Anthropology: 221-242.</w:t>
      </w:r>
    </w:p>
    <w:p>
      <w:pPr>
        <w:pStyle w:val="BodyText"/>
      </w:pPr>
      <w:r>
        <w:t xml:space="preserve">JobbÃ¡gy, E. G. , and R. B. Jackson . 2000. The vertical distribution of soil organic carbon and its relation to climate and vegetation.</w:t>
      </w:r>
      <w:r>
        <w:t xml:space="preserve"> </w:t>
      </w:r>
      <w:r>
        <w:rPr>
          <w:i/>
        </w:rPr>
        <w:t xml:space="preserve">Ecological Applications</w:t>
      </w:r>
      <w:r>
        <w:t xml:space="preserve"> </w:t>
      </w:r>
      <w:r>
        <w:t xml:space="preserve">10: 423â€“436.</w:t>
      </w:r>
    </w:p>
    <w:p>
      <w:pPr>
        <w:pStyle w:val="BodyText"/>
      </w:pPr>
      <w:r>
        <w:t xml:space="preserve">Jones, E. (2013). Subsistence Change Among the 17th-Century DinÃ©?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178â€“194.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443â€“456.</w:t>
      </w:r>
    </w:p>
    <w:p>
      <w:pPr>
        <w:pStyle w:val="BodyText"/>
      </w:pPr>
      <w:r>
        <w:t xml:space="preserve">Kohl, L., J. LaganiÃ¨re, K. A. Edwards, S. A. Billings, P. L. Morrill, G. Van Biesen and S. E. Ziegler (2015). "Distinct fungal and bacterial Î´13C signatures as potential drivers of increasing Î´13C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16:159â€“195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32(7):1037â€“1043</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336:368â€“371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47â€“65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673â€“687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Nonâ€Steadyâ€State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â€œSakai or Semangâ€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TÃ¢Å„, N. C. (2011). Inland shell midden site-formation: Investigation into a late Pleistocene to early Holocene midden from TrÃ 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3â€“16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SchefuÃŸ, E., S. Schouten, J. F. Jansen and J. S. S. DamstÃ©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Asiaâ€™s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FrÃ¨re,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JosÃ©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Ã‰tudes thÃ©matiques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67â€“77.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1â€“8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S295â€“S306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2016-08-08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analogue     * 0.17-0     2016-02-28 CRAN (R 3.2.5)                     </w:t>
      </w:r>
      <w:r>
        <w:br w:type="textWrapping"/>
      </w:r>
      <w:r>
        <w:rPr>
          <w:rStyle w:val="VerbatimChar"/>
        </w:rPr>
        <w:t xml:space="preserve">##  assertthat     0.1        2013-12-06 CRAN (R 3.3.1)                     </w:t>
      </w:r>
      <w:r>
        <w:br w:type="textWrapping"/>
      </w:r>
      <w:r>
        <w:rPr>
          <w:rStyle w:val="VerbatimChar"/>
        </w:rPr>
        <w:t xml:space="preserve">##  Bchron       * 4.2.4      2016-07-26 CRAN (R 3.3.1)                     </w:t>
      </w:r>
      <w:r>
        <w:br w:type="textWrapping"/>
      </w:r>
      <w:r>
        <w:rPr>
          <w:rStyle w:val="VerbatimChar"/>
        </w:rPr>
        <w:t xml:space="preserve">##  bookdown       0.1.1      2016-08-03 Github (rstudio/bookdown@902a670)  </w:t>
      </w:r>
      <w:r>
        <w:br w:type="textWrapping"/>
      </w:r>
      <w:r>
        <w:rPr>
          <w:rStyle w:val="VerbatimChar"/>
        </w:rPr>
        <w:t xml:space="preserve">##  brglm          0.5-9      2013-11-08 CRAN (R 3.2.3)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coda           0.18-1     2015-10-16 CRAN (R 3.3.1)                     </w:t>
      </w:r>
      <w:r>
        <w:br w:type="textWrapping"/>
      </w:r>
      <w:r>
        <w:rPr>
          <w:rStyle w:val="VerbatimChar"/>
        </w:rPr>
        <w:t xml:space="preserve">##  codetools      0.2-14     2015-07-15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0.4-1      2016-05-08 CRAN (R 3.3.1)                     </w:t>
      </w:r>
      <w:r>
        <w:br w:type="textWrapping"/>
      </w:r>
      <w:r>
        <w:rPr>
          <w:rStyle w:val="VerbatimChar"/>
        </w:rPr>
        <w:t xml:space="preserve">##  devtools       1.12.0     2016-06-24 CRAN (R 3.3.1)                     </w:t>
      </w:r>
      <w:r>
        <w:br w:type="textWrapping"/>
      </w:r>
      <w:r>
        <w:rPr>
          <w:rStyle w:val="VerbatimChar"/>
        </w:rPr>
        <w:t xml:space="preserve">##  digest         0.6.9      2016-01-08 CRAN (R 3.3.1)                     </w:t>
      </w:r>
      <w:r>
        <w:br w:type="textWrapping"/>
      </w:r>
      <w:r>
        <w:rPr>
          <w:rStyle w:val="VerbatimChar"/>
        </w:rPr>
        <w:t xml:space="preserve">##  dplyr        * 0.5.0.9000 2016-08-03 Github (hadley/dplyr@8b28b0b)      </w:t>
      </w:r>
      <w:r>
        <w:br w:type="textWrapping"/>
      </w:r>
      <w:r>
        <w:rPr>
          <w:rStyle w:val="VerbatimChar"/>
        </w:rPr>
        <w:t xml:space="preserve">##  ellipse        0.3-8      2013-04-13 CRAN (R 3.3.1)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G2Sd           2.1.5      2015-12-07 CRAN (R 3.3.1)                     </w:t>
      </w:r>
      <w:r>
        <w:br w:type="textWrapping"/>
      </w:r>
      <w:r>
        <w:rPr>
          <w:rStyle w:val="VerbatimChar"/>
        </w:rPr>
        <w:t xml:space="preserve">##  geosphere      1.5-5      2016-06-15 CRAN (R 3.3.1)                     </w:t>
      </w:r>
      <w:r>
        <w:br w:type="textWrapping"/>
      </w:r>
      <w:r>
        <w:rPr>
          <w:rStyle w:val="VerbatimChar"/>
        </w:rPr>
        <w:t xml:space="preserve">##  ggmap          2.6.1      2016-01-23 CRAN (R 3.3.1)                     </w:t>
      </w:r>
      <w:r>
        <w:br w:type="textWrapping"/>
      </w:r>
      <w:r>
        <w:rPr>
          <w:rStyle w:val="VerbatimChar"/>
        </w:rPr>
        <w:t xml:space="preserve">##  ggplot2      * 2.1.0      2016-03-01 CRAN (R 3.3.1)                     </w:t>
      </w:r>
      <w:r>
        <w:br w:type="textWrapping"/>
      </w:r>
      <w:r>
        <w:rPr>
          <w:rStyle w:val="VerbatimChar"/>
        </w:rPr>
        <w:t xml:space="preserve">##  gridExtra      2.2.1      2016-08-03 Github (baptiste/gridextra@478a7d2)</w:t>
      </w:r>
      <w:r>
        <w:br w:type="textWrapping"/>
      </w:r>
      <w:r>
        <w:rPr>
          <w:rStyle w:val="VerbatimChar"/>
        </w:rPr>
        <w:t xml:space="preserve">##  gtable         0.2.0      2016-02-26 CRAN (R 3.3.1)                     </w:t>
      </w:r>
      <w:r>
        <w:br w:type="textWrapping"/>
      </w:r>
      <w:r>
        <w:rPr>
          <w:rStyle w:val="VerbatimChar"/>
        </w:rPr>
        <w:t xml:space="preserve">##  hdrcde         3.1        2013-10-19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inline       * 0.3.14     2015-04-13 CRAN (R 3.3.1)                     </w:t>
      </w:r>
      <w:r>
        <w:br w:type="textWrapping"/>
      </w:r>
      <w:r>
        <w:rPr>
          <w:rStyle w:val="VerbatimChar"/>
        </w:rPr>
        <w:t xml:space="preserve">##  jpeg           0.1-8      2014-01-23 CRAN (R 3.3.0)                     </w:t>
      </w:r>
      <w:r>
        <w:br w:type="textWrapping"/>
      </w:r>
      <w:r>
        <w:rPr>
          <w:rStyle w:val="VerbatimChar"/>
        </w:rPr>
        <w:t xml:space="preserve">##  knitr        * 1.13.6     2016-08-03 Github (yihui/knitr@5235ec0)       </w:t>
      </w:r>
      <w:r>
        <w:br w:type="textWrapping"/>
      </w:r>
      <w:r>
        <w:rPr>
          <w:rStyle w:val="VerbatimChar"/>
        </w:rPr>
        <w:t xml:space="preserve">##  ktc11        * 0.1        2016-08-08 local                              </w:t>
      </w:r>
      <w:r>
        <w:br w:type="textWrapping"/>
      </w:r>
      <w:r>
        <w:rPr>
          <w:rStyle w:val="VerbatimChar"/>
        </w:rPr>
        <w:t xml:space="preserve">##  lattice      * 0.20-33    2015-07-14 CRAN (R 3.3.1)                     </w:t>
      </w:r>
      <w:r>
        <w:br w:type="textWrapping"/>
      </w:r>
      <w:r>
        <w:rPr>
          <w:rStyle w:val="VerbatimChar"/>
        </w:rPr>
        <w:t xml:space="preserve">##  latticeExtra * 0.6-28     2016-02-09 CRAN (R 3.3.1)                     </w:t>
      </w:r>
      <w:r>
        <w:br w:type="textWrapping"/>
      </w:r>
      <w:r>
        <w:rPr>
          <w:rStyle w:val="VerbatimChar"/>
        </w:rPr>
        <w:t xml:space="preserve">##  legendMap      1.0        2016-08-03 Github (3wen/legendMap@707f00c)    </w:t>
      </w:r>
      <w:r>
        <w:br w:type="textWrapping"/>
      </w:r>
      <w:r>
        <w:rPr>
          <w:rStyle w:val="VerbatimChar"/>
        </w:rPr>
        <w:t xml:space="preserve">##  magrittr       1.5        2014-11-22 CRAN (R 3.3.1)                     </w:t>
      </w:r>
      <w:r>
        <w:br w:type="textWrapping"/>
      </w:r>
      <w:r>
        <w:rPr>
          <w:rStyle w:val="VerbatimChar"/>
        </w:rPr>
        <w:t xml:space="preserve">##  mapproj        1.2-4      2015-08-03 CRAN (R 3.3.1)                     </w:t>
      </w:r>
      <w:r>
        <w:br w:type="textWrapping"/>
      </w:r>
      <w:r>
        <w:rPr>
          <w:rStyle w:val="VerbatimChar"/>
        </w:rPr>
        <w:t xml:space="preserve">##  maps           3.1.1      2016-07-27 CRAN (R 3.3.1)                     </w:t>
      </w:r>
      <w:r>
        <w:br w:type="textWrapping"/>
      </w:r>
      <w:r>
        <w:rPr>
          <w:rStyle w:val="VerbatimChar"/>
        </w:rPr>
        <w:t xml:space="preserve">##  maptools     * 0.8-39     2016-01-30 CRAN (R 3.3.1)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3.3.1)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3.3.1)                     </w:t>
      </w:r>
      <w:r>
        <w:br w:type="textWrapping"/>
      </w:r>
      <w:r>
        <w:rPr>
          <w:rStyle w:val="VerbatimChar"/>
        </w:rPr>
        <w:t xml:space="preserve">##  plyr           1.8.4      2016-06-08 CRAN (R 3.3.1)                     </w:t>
      </w:r>
      <w:r>
        <w:br w:type="textWrapping"/>
      </w:r>
      <w:r>
        <w:rPr>
          <w:rStyle w:val="VerbatimChar"/>
        </w:rPr>
        <w:t xml:space="preserve">##  png            0.1-7      2013-12-03 CRAN (R 3.3.0)                     </w:t>
      </w:r>
      <w:r>
        <w:br w:type="textWrapping"/>
      </w:r>
      <w:r>
        <w:rPr>
          <w:rStyle w:val="VerbatimChar"/>
        </w:rPr>
        <w:t xml:space="preserve">##  princurve      1.1-12     2013-04-25 CRAN (R 3.2.3)                     </w:t>
      </w:r>
      <w:r>
        <w:br w:type="textWrapping"/>
      </w:r>
      <w:r>
        <w:rPr>
          <w:rStyle w:val="VerbatimChar"/>
        </w:rPr>
        <w:t xml:space="preserve">##  proto          0.3-10     2012-12-22 CRAN (R 3.3.0)                     </w:t>
      </w:r>
      <w:r>
        <w:br w:type="textWrapping"/>
      </w:r>
      <w:r>
        <w:rPr>
          <w:rStyle w:val="VerbatimChar"/>
        </w:rPr>
        <w:t xml:space="preserve">##  R6             2.1.2      2016-01-26 CRAN (R 3.3.1)                     </w:t>
      </w:r>
      <w:r>
        <w:br w:type="textWrapping"/>
      </w:r>
      <w:r>
        <w:rPr>
          <w:rStyle w:val="VerbatimChar"/>
        </w:rPr>
        <w:t xml:space="preserve">##  RColorBrewer * 1.1-2      2014-12-07 CRAN (R 3.3.0)                     </w:t>
      </w:r>
      <w:r>
        <w:br w:type="textWrapping"/>
      </w:r>
      <w:r>
        <w:rPr>
          <w:rStyle w:val="VerbatimChar"/>
        </w:rPr>
        <w:t xml:space="preserve">##  Rcpp           0.12.6     2016-07-19 CRAN (R 3.3.1)                     </w:t>
      </w:r>
      <w:r>
        <w:br w:type="textWrapping"/>
      </w:r>
      <w:r>
        <w:rPr>
          <w:rStyle w:val="VerbatimChar"/>
        </w:rPr>
        <w:t xml:space="preserve">##  readr          0.2.2      2015-10-22 CRAN (R 3.3.1)                     </w:t>
      </w:r>
      <w:r>
        <w:br w:type="textWrapping"/>
      </w:r>
      <w:r>
        <w:rPr>
          <w:rStyle w:val="VerbatimChar"/>
        </w:rPr>
        <w:t xml:space="preserve">##  reshape2       1.4.1      2014-12-06 CRAN (R 3.3.1)                     </w:t>
      </w:r>
      <w:r>
        <w:br w:type="textWrapping"/>
      </w:r>
      <w:r>
        <w:rPr>
          <w:rStyle w:val="VerbatimChar"/>
        </w:rPr>
        <w:t xml:space="preserve">##  RgoogleMaps    1.2.0.7    2015-01-21 CRAN (R 3.3.1)                     </w:t>
      </w:r>
      <w:r>
        <w:br w:type="textWrapping"/>
      </w:r>
      <w:r>
        <w:rPr>
          <w:rStyle w:val="VerbatimChar"/>
        </w:rPr>
        <w:t xml:space="preserve">##  rJava          0.9-8      2016-01-07 CRAN (R 3.3.0)                     </w:t>
      </w:r>
      <w:r>
        <w:br w:type="textWrapping"/>
      </w:r>
      <w:r>
        <w:rPr>
          <w:rStyle w:val="VerbatimChar"/>
        </w:rPr>
        <w:t xml:space="preserve">##  rjson          0.2.15     2014-11-03 CRAN (R 3.3.0)                     </w:t>
      </w:r>
      <w:r>
        <w:br w:type="textWrapping"/>
      </w:r>
      <w:r>
        <w:rPr>
          <w:rStyle w:val="VerbatimChar"/>
        </w:rPr>
        <w:t xml:space="preserve">##  RJSONIO        1.3-0      2014-07-28 CRAN (R 3.3.0)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 0.4.0      2016-02-26 CRAN (R 3.3.1)                     </w:t>
      </w:r>
      <w:r>
        <w:br w:type="textWrapping"/>
      </w:r>
      <w:r>
        <w:rPr>
          <w:rStyle w:val="VerbatimChar"/>
        </w:rPr>
        <w:t xml:space="preserve">##  shiny          0.13.2     2016-03-28 CRAN (R 3.3.1)                     </w:t>
      </w:r>
      <w:r>
        <w:br w:type="textWrapping"/>
      </w:r>
      <w:r>
        <w:rPr>
          <w:rStyle w:val="VerbatimChar"/>
        </w:rPr>
        <w:t xml:space="preserve">##  sp           * 1.2-3      2016-04-14 CRAN (R 3.3.1)                     </w:t>
      </w:r>
      <w:r>
        <w:br w:type="textWrapping"/>
      </w:r>
      <w:r>
        <w:rPr>
          <w:rStyle w:val="VerbatimChar"/>
        </w:rPr>
        <w:t xml:space="preserve">##  stringi        1.1.1      2016-05-27 CRAN (R 3.3.0)                     </w:t>
      </w:r>
      <w:r>
        <w:br w:type="textWrapping"/>
      </w:r>
      <w:r>
        <w:rPr>
          <w:rStyle w:val="VerbatimChar"/>
        </w:rPr>
        <w:t xml:space="preserve">##  stringr        1.0.0      2015-04-30 CRAN (R 3.3.1)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3.3.0)                     </w:t>
      </w:r>
      <w:r>
        <w:br w:type="textWrapping"/>
      </w:r>
      <w:r>
        <w:rPr>
          <w:rStyle w:val="VerbatimChar"/>
        </w:rPr>
        <w:t xml:space="preserve">##  xlsxjars       0.6.1      2014-08-22 CRAN (R 3.3.0)                     </w:t>
      </w:r>
      <w:r>
        <w:br w:type="textWrapping"/>
      </w:r>
      <w:r>
        <w:rPr>
          <w:rStyle w:val="VerbatimChar"/>
        </w:rPr>
        <w:t xml:space="preserve">##  xtable         1.8-2      2016-02-05 CRAN (R 3.3.1)                     </w:t>
      </w:r>
      <w:r>
        <w:br w:type="textWrapping"/>
      </w:r>
      <w:r>
        <w:rPr>
          <w:rStyle w:val="VerbatimChar"/>
        </w:rPr>
        <w:t xml:space="preserve">##  yaml           2.1.13     2014-06-12 CRAN (R 3.3.1)</w:t>
      </w:r>
    </w:p>
    <w:sectPr w:rsidR="00047336" w:rsidSect="00CB687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4C34E9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EC6704F"/>
    <w:multiLevelType w:val="multilevel"/>
    <w:tmpl w:val="04D609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03f51e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B687C"/>
    <w:pPr>
      <w:keepNext/>
      <w:keepLines/>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uiPriority w:val="9"/>
    <w:unhideWhenUsed/>
    <w:qFormat/>
    <w:rsid w:val="00CB687C"/>
    <w:pPr>
      <w:keepNext/>
      <w:keepLines/>
      <w:spacing w:before="200" w:after="0"/>
      <w:outlineLvl w:val="1"/>
    </w:pPr>
    <w:rPr>
      <w:rFonts w:ascii="Times New Roman" w:eastAsiaTheme="majorEastAsia" w:hAnsi="Times New Roman" w:cstheme="majorBidi"/>
      <w:bCs/>
      <w:sz w:val="28"/>
      <w:szCs w:val="32"/>
      <w:u w:val="single"/>
    </w:rPr>
  </w:style>
  <w:style w:type="paragraph" w:styleId="Heading3">
    <w:name w:val="heading 3"/>
    <w:basedOn w:val="Normal"/>
    <w:next w:val="BodyText"/>
    <w:uiPriority w:val="9"/>
    <w:unhideWhenUsed/>
    <w:qFormat/>
    <w:rsid w:val="00CB687C"/>
    <w:pPr>
      <w:keepNext/>
      <w:keepLines/>
      <w:spacing w:before="200" w:after="0"/>
      <w:outlineLvl w:val="2"/>
    </w:pPr>
    <w:rPr>
      <w:rFonts w:ascii="Times New Roman" w:eastAsiaTheme="majorEastAsia" w:hAnsi="Times New Roman" w:cstheme="majorBidi"/>
      <w:bCs/>
      <w:sz w:val="28"/>
      <w:szCs w:val="28"/>
    </w:rPr>
  </w:style>
  <w:style w:type="paragraph" w:styleId="Heading4">
    <w:name w:val="heading 4"/>
    <w:basedOn w:val="Normal"/>
    <w:next w:val="BodyText"/>
    <w:uiPriority w:val="9"/>
    <w:unhideWhenUsed/>
    <w:qFormat/>
    <w:rsid w:val="00CB687C"/>
    <w:pPr>
      <w:keepNext/>
      <w:keepLines/>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B687C"/>
    <w:pPr>
      <w:spacing w:before="180" w:after="180"/>
    </w:pPr>
    <w:rPr>
      <w:rFonts w:ascii="Times New Roman" w:hAnsi="Times New Roman"/>
    </w:rPr>
  </w:style>
  <w:style w:type="paragraph" w:customStyle="1" w:styleId="FirstParagraph">
    <w:name w:val="First Paragraph"/>
    <w:basedOn w:val="BodyText"/>
    <w:next w:val="BodyText"/>
    <w:qFormat/>
    <w:rsid w:val="00CB687C"/>
  </w:style>
  <w:style w:type="paragraph" w:customStyle="1" w:styleId="Compact">
    <w:name w:val="Compact"/>
    <w:basedOn w:val="BodyText"/>
    <w:qFormat/>
    <w:rsid w:val="00CB687C"/>
    <w:pPr>
      <w:spacing w:before="36" w:after="36"/>
      <w:jc w:val="right"/>
    </w:pPr>
    <w:rPr>
      <w:rFonts w:ascii="Arial" w:hAnsi="Arial"/>
      <w:sz w:val="20"/>
    </w:rPr>
  </w:style>
  <w:style w:type="paragraph" w:styleId="Title">
    <w:name w:val="Title"/>
    <w:basedOn w:val="Normal"/>
    <w:next w:val="BodyText"/>
    <w:qFormat/>
    <w:rsid w:val="00CB687C"/>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B687C"/>
    <w:pPr>
      <w:keepNext/>
      <w:keepLines/>
      <w:jc w:val="center"/>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CB687C"/>
    <w:pPr>
      <w:keepNext/>
      <w:keepLines/>
      <w:spacing w:before="300" w:after="300"/>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B687C"/>
    <w:pPr>
      <w:spacing w:after="0"/>
    </w:pPr>
    <w:rPr>
      <w:rFonts w:ascii="Tahoma" w:hAnsi="Tahoma" w:cs="Tahoma"/>
      <w:sz w:val="16"/>
      <w:szCs w:val="16"/>
    </w:rPr>
  </w:style>
  <w:style w:type="character" w:customStyle="1" w:styleId="BalloonTextChar">
    <w:name w:val="Balloon Text Char"/>
    <w:basedOn w:val="DefaultParagraphFont"/>
    <w:link w:val="BalloonText"/>
    <w:rsid w:val="00CB687C"/>
    <w:rPr>
      <w:rFonts w:ascii="Tahoma" w:hAnsi="Tahoma" w:cs="Tahoma"/>
      <w:sz w:val="16"/>
      <w:szCs w:val="16"/>
    </w:rPr>
  </w:style>
  <w:style w:type="table" w:customStyle="1" w:styleId="Style1">
    <w:name w:val="Style1"/>
    <w:basedOn w:val="TableNormal"/>
    <w:uiPriority w:val="99"/>
    <w:rsid w:val="00CB687C"/>
    <w:pPr>
      <w:spacing w:after="0"/>
      <w:jc w:val="right"/>
    </w:pPr>
    <w:rPr>
      <w:rFonts w:ascii="Arial" w:hAnsi="Arial"/>
      <w:sz w:val="20"/>
    </w:rPr>
    <w:tblPr/>
    <w:tcPr>
      <w:vAlign w:val="center"/>
    </w:tcPr>
  </w:style>
  <w:style w:type="character" w:styleId="LineNumber">
    <w:name w:val="line number"/>
    <w:basedOn w:val="DefaultParagraphFont"/>
    <w:rsid w:val="00CB6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2"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272</Words>
  <Characters>1557</Characters>
  <Application>Microsoft Office Word</Application>
  <DocSecurity>0</DocSecurity>
  <Lines>12</Lines>
  <Paragraphs>3</Paragraphs>
  <ScaleCrop>false</ScaleCrop>
  <Company>University of Wollongong</Company>
  <LinksUpToDate>false</LinksUpToDate>
  <CharactersWithSpaces>1826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(Valles Caldera National Preserve, U.S. National Park Service); Cyler Conrad (University of New Mexico); Rasmi Shoocongdej (Silpakorn University); Cholawit Thongcharoenchaikit (National Science Museum of Thailand); Seungki Kwak (University of Washington)</dc:creator>
  <dcterms:created xsi:type="dcterms:W3CDTF">2016-08-18T03:00:55Z</dcterms:created>
  <dcterms:modified xsi:type="dcterms:W3CDTF">2016-08-18T03:00:55Z</dcterms:modified>
</cp:coreProperties>
</file>